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0200AE" w:rsidRPr="00D62212">
        <w:trPr>
          <w:cantSplit/>
        </w:trPr>
        <w:tc>
          <w:tcPr>
            <w:tcW w:w="4428" w:type="dxa"/>
          </w:tcPr>
          <w:p w:rsidR="000200AE" w:rsidRDefault="000200AE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200AE" w:rsidRDefault="000200A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200AE" w:rsidRDefault="000200AE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200AE" w:rsidRDefault="000200A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0200AE" w:rsidRDefault="000200A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0200AE" w:rsidRDefault="000200A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200AE" w:rsidRDefault="000200A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200AE" w:rsidRPr="00CA7078" w:rsidRDefault="000200A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0200AE" w:rsidRDefault="000200A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200AE" w:rsidRDefault="000200AE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0200AE" w:rsidRDefault="000200AE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0200AE" w:rsidRDefault="000200A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200AE" w:rsidRDefault="000200A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200AE" w:rsidRDefault="000200AE" w:rsidP="00B936DF">
            <w:pPr>
              <w:rPr>
                <w:sz w:val="4"/>
                <w:szCs w:val="4"/>
              </w:rPr>
            </w:pPr>
          </w:p>
          <w:p w:rsidR="000200AE" w:rsidRPr="00D62212" w:rsidRDefault="000200A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200AE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200AE" w:rsidRPr="00D62212" w:rsidRDefault="000200AE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200AE" w:rsidRDefault="000200AE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200AE" w:rsidRDefault="000200AE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0AE" w:rsidRDefault="000200AE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0200AE" w:rsidRDefault="000200AE" w:rsidP="007A0566">
      <w:pPr>
        <w:jc w:val="both"/>
        <w:rPr>
          <w:rFonts w:ascii="Arial New Bash" w:hAnsi="Arial New Bash" w:cs="Arial New Bash"/>
        </w:rPr>
      </w:pPr>
    </w:p>
    <w:p w:rsidR="000200AE" w:rsidRDefault="000200AE" w:rsidP="00B8086F">
      <w:pPr>
        <w:spacing w:line="360" w:lineRule="auto"/>
        <w:jc w:val="both"/>
      </w:pPr>
      <w:r>
        <w:t xml:space="preserve">               28 декабрь   2017  й.                  №291                        28 декабря 2017 г.</w:t>
      </w:r>
    </w:p>
    <w:p w:rsidR="000200AE" w:rsidRPr="00015EBC" w:rsidRDefault="000200AE" w:rsidP="00A364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AE" w:rsidRPr="00216296" w:rsidRDefault="000200AE" w:rsidP="00A364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перечня кодов подвидов доходов бюджета сельского поселения  Чекмагушевский  сельсовет муниципального района Чекмагушевский район Республики Башкортостан</w:t>
      </w:r>
    </w:p>
    <w:p w:rsidR="000200AE" w:rsidRPr="00216296" w:rsidRDefault="000200AE" w:rsidP="00A36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00AE" w:rsidRDefault="000200AE" w:rsidP="00C66B6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положениями Бюджетного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Чекмагушевский  сельсовет муниципального  района   Чекмагушевский    район   Республики   Башкортостан </w:t>
      </w:r>
    </w:p>
    <w:p w:rsidR="000200AE" w:rsidRPr="00C66B69" w:rsidRDefault="000200AE" w:rsidP="00C66B69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66B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200AE" w:rsidRPr="005135E6" w:rsidRDefault="000200AE" w:rsidP="00A3645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перечень кодов под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 доходов по видам доходов бюджета сельского поселения Чекмагушевский сельсовет муниципального района Чекмагушевский район Республики Башкортостан,</w:t>
      </w: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главными администраторами которых являются органы местного самоуправления 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Чекмагушевский район Республики Башкортостан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к настоящему постановлению.</w:t>
      </w:r>
    </w:p>
    <w:p w:rsidR="000200AE" w:rsidRDefault="000200AE" w:rsidP="00A3645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56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94B6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вступает в силу с 1 января  201</w:t>
      </w:r>
      <w:r w:rsidRPr="007A454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94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0200AE" w:rsidRDefault="000200AE" w:rsidP="00A3645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5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Признать утратившими силу   постановление администрации сельского поселения Чекмагушевский сельсовет муниципального района  Чекмагушевский район  от 27 декабря  201</w:t>
      </w:r>
      <w:r w:rsidRPr="00A10FF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504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A65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</w:t>
      </w:r>
      <w:r w:rsidRPr="00A656FC">
        <w:rPr>
          <w:rFonts w:ascii="Times New Roman" w:hAnsi="Times New Roman" w:cs="Times New Roman"/>
          <w:b w:val="0"/>
          <w:bCs w:val="0"/>
        </w:rPr>
        <w:t xml:space="preserve"> </w:t>
      </w:r>
      <w:r w:rsidRPr="00A656FC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всеми внесенными изменениями и дополнениями.</w:t>
      </w:r>
    </w:p>
    <w:p w:rsidR="000200AE" w:rsidRPr="00216296" w:rsidRDefault="000200AE" w:rsidP="00A36456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0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29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 делами. </w:t>
      </w:r>
    </w:p>
    <w:p w:rsidR="000200AE" w:rsidRDefault="000200AE" w:rsidP="00A36456">
      <w:pPr>
        <w:pStyle w:val="Heading1"/>
        <w:rPr>
          <w:rFonts w:cs="Times New Roman"/>
        </w:rPr>
      </w:pPr>
    </w:p>
    <w:p w:rsidR="000200AE" w:rsidRDefault="000200AE" w:rsidP="00A36456"/>
    <w:p w:rsidR="000200AE" w:rsidRDefault="000200AE" w:rsidP="00C66B69">
      <w:pPr>
        <w:pStyle w:val="ListParagraph"/>
        <w:ind w:left="0"/>
      </w:pPr>
      <w:r>
        <w:t xml:space="preserve">Исполняющий полномочия  </w:t>
      </w:r>
    </w:p>
    <w:p w:rsidR="000200AE" w:rsidRDefault="000200AE" w:rsidP="00C66B69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0200AE" w:rsidRDefault="000200AE" w:rsidP="00C66B69">
      <w:pPr>
        <w:pStyle w:val="ListParagraph"/>
        <w:rPr>
          <w:sz w:val="24"/>
          <w:szCs w:val="24"/>
        </w:rPr>
      </w:pPr>
    </w:p>
    <w:p w:rsidR="000200AE" w:rsidRPr="00A36456" w:rsidRDefault="000200AE" w:rsidP="00A36456"/>
    <w:p w:rsidR="000200AE" w:rsidRPr="00A36456" w:rsidRDefault="000200AE" w:rsidP="00A36456"/>
    <w:p w:rsidR="000200AE" w:rsidRPr="00A36456" w:rsidRDefault="000200AE" w:rsidP="00A36456"/>
    <w:p w:rsidR="000200AE" w:rsidRPr="00A36456" w:rsidRDefault="000200AE" w:rsidP="00A36456">
      <w:pPr>
        <w:autoSpaceDE w:val="0"/>
        <w:autoSpaceDN w:val="0"/>
        <w:adjustRightInd w:val="0"/>
        <w:jc w:val="both"/>
      </w:pPr>
    </w:p>
    <w:p w:rsidR="000200AE" w:rsidRPr="00A36456" w:rsidRDefault="000200AE" w:rsidP="00A36456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      Приложение № 1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сельского поселения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Чекмагушевский  сельсовет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муниципального  района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Чекмагушевский район     </w:t>
      </w:r>
    </w:p>
    <w:p w:rsidR="000200AE" w:rsidRPr="00C66B69" w:rsidRDefault="000200AE" w:rsidP="00C66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                                                            Республики Башкортостан</w:t>
      </w:r>
    </w:p>
    <w:p w:rsidR="000200AE" w:rsidRPr="00C66B69" w:rsidRDefault="000200AE" w:rsidP="00C66B69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 w:rsidRPr="00C66B69">
        <w:rPr>
          <w:sz w:val="24"/>
          <w:szCs w:val="24"/>
        </w:rPr>
        <w:t xml:space="preserve">          от   28  декабря   2017 г. №291 </w:t>
      </w:r>
    </w:p>
    <w:p w:rsidR="000200AE" w:rsidRPr="00A36456" w:rsidRDefault="000200AE" w:rsidP="00A36456">
      <w:pPr>
        <w:autoSpaceDE w:val="0"/>
        <w:autoSpaceDN w:val="0"/>
        <w:adjustRightInd w:val="0"/>
        <w:jc w:val="both"/>
      </w:pPr>
    </w:p>
    <w:p w:rsidR="000200AE" w:rsidRDefault="000200AE" w:rsidP="00A36456">
      <w:pPr>
        <w:autoSpaceDE w:val="0"/>
        <w:autoSpaceDN w:val="0"/>
        <w:adjustRightInd w:val="0"/>
        <w:ind w:firstLine="708"/>
        <w:jc w:val="center"/>
        <w:outlineLvl w:val="0"/>
      </w:pPr>
      <w:r>
        <w:t>Перечень</w:t>
      </w:r>
    </w:p>
    <w:p w:rsidR="000200AE" w:rsidRDefault="000200AE" w:rsidP="00C66B69">
      <w:pPr>
        <w:autoSpaceDE w:val="0"/>
        <w:autoSpaceDN w:val="0"/>
        <w:adjustRightInd w:val="0"/>
        <w:ind w:firstLine="708"/>
        <w:jc w:val="center"/>
      </w:pPr>
      <w: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Чекмагушевский сельсовет муниципального района  Чекмагушевский район </w:t>
      </w:r>
    </w:p>
    <w:p w:rsidR="000200AE" w:rsidRDefault="000200AE" w:rsidP="00A36456">
      <w:pPr>
        <w:autoSpaceDE w:val="0"/>
        <w:autoSpaceDN w:val="0"/>
        <w:adjustRightInd w:val="0"/>
        <w:ind w:firstLine="708"/>
        <w:jc w:val="center"/>
      </w:pPr>
      <w:r>
        <w:t xml:space="preserve">Республики Башкортостан </w:t>
      </w:r>
    </w:p>
    <w:p w:rsidR="000200AE" w:rsidRDefault="000200AE" w:rsidP="00A36456">
      <w:pPr>
        <w:autoSpaceDE w:val="0"/>
        <w:autoSpaceDN w:val="0"/>
        <w:adjustRightInd w:val="0"/>
        <w:ind w:firstLine="708"/>
        <w:jc w:val="both"/>
      </w:pPr>
    </w:p>
    <w:p w:rsidR="000200AE" w:rsidRPr="00A36456" w:rsidRDefault="000200AE" w:rsidP="00A36456">
      <w:pPr>
        <w:autoSpaceDE w:val="0"/>
        <w:autoSpaceDN w:val="0"/>
        <w:adjustRightInd w:val="0"/>
        <w:ind w:firstLine="708"/>
        <w:jc w:val="both"/>
      </w:pPr>
      <w: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</w:t>
      </w:r>
      <w:r w:rsidRPr="000F25D7">
        <w:t xml:space="preserve"> </w:t>
      </w:r>
      <w:r>
        <w:t>в рамках первого - четвертого знаков подвида доходов классификации доходов бюджетов по видам доходов:</w:t>
      </w:r>
    </w:p>
    <w:p w:rsidR="000200AE" w:rsidRDefault="000200AE" w:rsidP="00C66B69">
      <w:pPr>
        <w:jc w:val="both"/>
      </w:pPr>
      <w:r>
        <w:t xml:space="preserve">     000 </w:t>
      </w:r>
      <w:r w:rsidRPr="0011329E">
        <w:t>1 08 0</w:t>
      </w:r>
      <w:r w:rsidRPr="00FC08BA">
        <w:t>4</w:t>
      </w:r>
      <w:r>
        <w:t>0</w:t>
      </w:r>
      <w:r w:rsidRPr="00FC08BA">
        <w:t>2</w:t>
      </w:r>
      <w:r w:rsidRPr="0011329E">
        <w:t>0</w:t>
      </w:r>
      <w:r w:rsidRPr="00FC08BA">
        <w:t xml:space="preserve"> </w:t>
      </w:r>
      <w:r>
        <w:t>01</w:t>
      </w:r>
      <w:r w:rsidRPr="00FC08BA">
        <w:t xml:space="preserve"> 0</w:t>
      </w:r>
      <w:r w:rsidRPr="0011329E">
        <w:t>000 110</w:t>
      </w:r>
      <w:r>
        <w:t xml:space="preserve"> </w:t>
      </w:r>
      <w:r w:rsidRPr="00604B9A">
        <w:t xml:space="preserve">«Государственная пошлина за </w:t>
      </w:r>
      <w:r>
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04B9A">
        <w:t>»</w:t>
      </w:r>
      <w:r>
        <w:t xml:space="preserve"> </w:t>
      </w:r>
      <w:r w:rsidRPr="007525F6">
        <w:t>установить следующую структуру кода подвида доходов:</w:t>
      </w:r>
    </w:p>
    <w:p w:rsidR="000200AE" w:rsidRDefault="000200AE" w:rsidP="00A36456">
      <w:pPr>
        <w:autoSpaceDE w:val="0"/>
        <w:autoSpaceDN w:val="0"/>
        <w:adjustRightInd w:val="0"/>
        <w:ind w:firstLine="360"/>
        <w:jc w:val="both"/>
      </w:pPr>
    </w:p>
    <w:tbl>
      <w:tblPr>
        <w:tblW w:w="9900" w:type="dxa"/>
        <w:tblInd w:w="-106" w:type="dxa"/>
        <w:tblLook w:val="0000"/>
      </w:tblPr>
      <w:tblGrid>
        <w:gridCol w:w="1368"/>
        <w:gridCol w:w="8532"/>
      </w:tblGrid>
      <w:tr w:rsidR="000200AE" w:rsidRPr="00492915">
        <w:trPr>
          <w:trHeight w:val="7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0AE" w:rsidRPr="00492915" w:rsidRDefault="000200AE" w:rsidP="00197B5C">
            <w:pPr>
              <w:jc w:val="center"/>
              <w:rPr>
                <w:color w:val="000000"/>
              </w:rPr>
            </w:pPr>
            <w:r w:rsidRPr="00492915">
              <w:rPr>
                <w:color w:val="000000"/>
              </w:rPr>
              <w:t>Код</w:t>
            </w:r>
          </w:p>
          <w:p w:rsidR="000200AE" w:rsidRPr="00492915" w:rsidRDefault="000200AE" w:rsidP="00197B5C">
            <w:pPr>
              <w:jc w:val="center"/>
              <w:rPr>
                <w:color w:val="000000"/>
              </w:rPr>
            </w:pPr>
            <w:r w:rsidRPr="00492915">
              <w:rPr>
                <w:color w:val="000000"/>
              </w:rPr>
              <w:t>подвида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AE" w:rsidRPr="00492915" w:rsidRDefault="000200AE" w:rsidP="00197B5C">
            <w:pPr>
              <w:rPr>
                <w:color w:val="000000"/>
              </w:rPr>
            </w:pPr>
            <w:r w:rsidRPr="00492915">
              <w:rPr>
                <w:color w:val="000000"/>
              </w:rPr>
              <w:t xml:space="preserve">                                   Подвид дохода</w:t>
            </w:r>
          </w:p>
        </w:tc>
      </w:tr>
      <w:tr w:rsidR="000200AE" w:rsidRPr="00F3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</w:tcPr>
          <w:p w:rsidR="000200AE" w:rsidRPr="00F3605A" w:rsidRDefault="000200AE" w:rsidP="00197B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200AE" w:rsidRPr="00F3605A" w:rsidRDefault="000200AE" w:rsidP="00197B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1000 110</w:t>
            </w:r>
          </w:p>
        </w:tc>
        <w:tc>
          <w:tcPr>
            <w:tcW w:w="8532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</w:t>
            </w:r>
            <w:r w:rsidRPr="00A32E8F"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200AE" w:rsidRPr="00F3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</w:tcPr>
          <w:p w:rsidR="000200AE" w:rsidRPr="00F3605A" w:rsidRDefault="000200AE" w:rsidP="00197B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4000 110</w:t>
            </w:r>
          </w:p>
        </w:tc>
        <w:tc>
          <w:tcPr>
            <w:tcW w:w="8532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</w:t>
            </w:r>
            <w:r w:rsidRPr="00A32E8F">
              <w:t>рочие поступления</w:t>
            </w:r>
          </w:p>
        </w:tc>
      </w:tr>
    </w:tbl>
    <w:p w:rsidR="000200AE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0AE" w:rsidRPr="00082D97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7B6B30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D97">
        <w:rPr>
          <w:rFonts w:ascii="Times New Roman" w:hAnsi="Times New Roman" w:cs="Times New Roman"/>
          <w:sz w:val="28"/>
          <w:szCs w:val="28"/>
        </w:rPr>
        <w:t>0077</w:t>
      </w:r>
      <w:r w:rsidRPr="007B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B30">
        <w:rPr>
          <w:rFonts w:ascii="Times New Roman" w:hAnsi="Times New Roman" w:cs="Times New Roman"/>
          <w:sz w:val="28"/>
          <w:szCs w:val="28"/>
        </w:rPr>
        <w:t xml:space="preserve"> 0000 151 </w:t>
      </w:r>
      <w:r>
        <w:rPr>
          <w:sz w:val="28"/>
          <w:szCs w:val="28"/>
        </w:rPr>
        <w:t>«</w:t>
      </w:r>
      <w:r w:rsidRPr="00082D97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>
        <w:rPr>
          <w:sz w:val="28"/>
          <w:szCs w:val="28"/>
        </w:rPr>
        <w:t>»</w:t>
      </w:r>
      <w:r w:rsidRPr="007B6B30">
        <w:rPr>
          <w:rFonts w:ascii="Times New Roman" w:hAnsi="Times New Roman" w:cs="Times New Roman"/>
          <w:sz w:val="28"/>
          <w:szCs w:val="28"/>
        </w:rPr>
        <w:t xml:space="preserve">» </w:t>
      </w:r>
      <w:r w:rsidRPr="00675991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0200AE" w:rsidRPr="00082D97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0200AE" w:rsidRPr="00DA625A">
        <w:tc>
          <w:tcPr>
            <w:tcW w:w="1440" w:type="dxa"/>
          </w:tcPr>
          <w:p w:rsidR="000200AE" w:rsidRPr="00EA09F1" w:rsidRDefault="000200AE" w:rsidP="00197B5C">
            <w:pPr>
              <w:ind w:firstLine="34"/>
              <w:jc w:val="center"/>
            </w:pPr>
            <w:r>
              <w:rPr>
                <w:lang w:val="en-US"/>
              </w:rPr>
              <w:t>7217</w:t>
            </w:r>
            <w:r w:rsidRPr="00EA09F1">
              <w:t xml:space="preserve"> 151</w:t>
            </w:r>
          </w:p>
        </w:tc>
        <w:tc>
          <w:tcPr>
            <w:tcW w:w="8341" w:type="dxa"/>
            <w:vAlign w:val="center"/>
          </w:tcPr>
          <w:p w:rsidR="000200AE" w:rsidRPr="00082D97" w:rsidRDefault="000200AE" w:rsidP="00C66B69">
            <w:pPr>
              <w:jc w:val="both"/>
            </w:pPr>
            <w:r>
              <w:t>С</w:t>
            </w:r>
            <w:r w:rsidRPr="00272CE2">
              <w:t>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0200AE" w:rsidRPr="00DA625A">
        <w:tc>
          <w:tcPr>
            <w:tcW w:w="1440" w:type="dxa"/>
          </w:tcPr>
          <w:p w:rsidR="000200AE" w:rsidRDefault="000200AE" w:rsidP="00197B5C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7240 151</w:t>
            </w:r>
          </w:p>
        </w:tc>
        <w:tc>
          <w:tcPr>
            <w:tcW w:w="8341" w:type="dxa"/>
            <w:vAlign w:val="center"/>
          </w:tcPr>
          <w:p w:rsidR="000200AE" w:rsidRDefault="000200AE" w:rsidP="00C66B69">
            <w:pPr>
              <w:jc w:val="both"/>
            </w:pPr>
            <w:r>
              <w:t>С</w:t>
            </w:r>
            <w:r w:rsidRPr="00272CE2">
              <w:t>убсидии на софинансирование капитальных вложений в объекты муниципальной собственности</w:t>
            </w:r>
          </w:p>
        </w:tc>
      </w:tr>
    </w:tbl>
    <w:p w:rsidR="000200AE" w:rsidRPr="001615D3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0AE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7B6B30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6B30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B30">
        <w:rPr>
          <w:rFonts w:ascii="Times New Roman" w:hAnsi="Times New Roman" w:cs="Times New Roman"/>
          <w:sz w:val="28"/>
          <w:szCs w:val="28"/>
        </w:rPr>
        <w:t xml:space="preserve"> 0000 151 «Прочие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B6B30">
        <w:rPr>
          <w:rFonts w:ascii="Times New Roman" w:hAnsi="Times New Roman" w:cs="Times New Roman"/>
          <w:sz w:val="28"/>
          <w:szCs w:val="28"/>
        </w:rPr>
        <w:t xml:space="preserve">» </w:t>
      </w:r>
      <w:r w:rsidRPr="00675991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0200AE" w:rsidRPr="007B6B30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7801"/>
      </w:tblGrid>
      <w:tr w:rsidR="000200AE">
        <w:trPr>
          <w:trHeight w:val="645"/>
        </w:trPr>
        <w:tc>
          <w:tcPr>
            <w:tcW w:w="1662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7211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7801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0200AE">
        <w:trPr>
          <w:trHeight w:val="645"/>
        </w:trPr>
        <w:tc>
          <w:tcPr>
            <w:tcW w:w="1662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</w:pPr>
            <w:r>
              <w:t>7235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7801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0200AE">
        <w:trPr>
          <w:trHeight w:val="645"/>
        </w:trPr>
        <w:tc>
          <w:tcPr>
            <w:tcW w:w="1662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7236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7801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0200AE">
        <w:trPr>
          <w:trHeight w:val="645"/>
        </w:trPr>
        <w:tc>
          <w:tcPr>
            <w:tcW w:w="1662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723</w:t>
            </w:r>
            <w:r>
              <w:rPr>
                <w:color w:val="000000"/>
                <w:lang w:val="en-US"/>
              </w:rPr>
              <w:t xml:space="preserve">7 </w:t>
            </w:r>
            <w:r>
              <w:rPr>
                <w:color w:val="000000"/>
              </w:rPr>
              <w:t>151</w:t>
            </w:r>
          </w:p>
        </w:tc>
        <w:tc>
          <w:tcPr>
            <w:tcW w:w="7801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0200AE">
        <w:trPr>
          <w:trHeight w:val="645"/>
        </w:trPr>
        <w:tc>
          <w:tcPr>
            <w:tcW w:w="1662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7247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7801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ind w:right="-5"/>
              <w:jc w:val="both"/>
              <w:textAlignment w:val="baseline"/>
            </w:pPr>
            <w:r w:rsidRPr="00A32E8F"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0200AE" w:rsidRPr="0043773A" w:rsidRDefault="000200AE" w:rsidP="00A364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0AE" w:rsidRDefault="000200AE" w:rsidP="00A36456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4969FA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969FA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69FA">
        <w:rPr>
          <w:rFonts w:ascii="Times New Roman" w:hAnsi="Times New Roman" w:cs="Times New Roman"/>
          <w:sz w:val="28"/>
          <w:szCs w:val="28"/>
        </w:rPr>
        <w:t xml:space="preserve"> 0000 151 «Прочие межбюджетные трансферты, передаваемые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969FA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0200AE" w:rsidRDefault="000200AE" w:rsidP="00A36456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0200AE" w:rsidRPr="00DA625A">
        <w:tc>
          <w:tcPr>
            <w:tcW w:w="1418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7404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8363" w:type="dxa"/>
          </w:tcPr>
          <w:p w:rsidR="000200AE" w:rsidRPr="00A32E8F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color w:val="000000"/>
              </w:rPr>
            </w:pPr>
            <w:r w:rsidRPr="00A32E8F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0200AE" w:rsidRPr="00DA625A">
        <w:tc>
          <w:tcPr>
            <w:tcW w:w="1418" w:type="dxa"/>
          </w:tcPr>
          <w:p w:rsidR="000200AE" w:rsidRDefault="000200AE" w:rsidP="00197B5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7405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8363" w:type="dxa"/>
          </w:tcPr>
          <w:p w:rsidR="000200AE" w:rsidRPr="00A32E8F" w:rsidRDefault="000200AE" w:rsidP="00C66B69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0200AE" w:rsidRPr="00DA625A">
        <w:tc>
          <w:tcPr>
            <w:tcW w:w="1418" w:type="dxa"/>
          </w:tcPr>
          <w:p w:rsidR="000200AE" w:rsidRPr="00EA09F1" w:rsidRDefault="000200AE" w:rsidP="00197B5C">
            <w:pPr>
              <w:ind w:firstLine="34"/>
              <w:jc w:val="center"/>
            </w:pPr>
            <w:r>
              <w:rPr>
                <w:color w:val="000000"/>
              </w:rPr>
              <w:t>74</w:t>
            </w:r>
            <w:r>
              <w:rPr>
                <w:color w:val="000000"/>
                <w:lang w:val="en-US"/>
              </w:rPr>
              <w:t xml:space="preserve">15 </w:t>
            </w:r>
            <w:r>
              <w:rPr>
                <w:color w:val="000000"/>
              </w:rPr>
              <w:t>151</w:t>
            </w:r>
          </w:p>
        </w:tc>
        <w:tc>
          <w:tcPr>
            <w:tcW w:w="8363" w:type="dxa"/>
          </w:tcPr>
          <w:p w:rsidR="000200AE" w:rsidRPr="00A32E8F" w:rsidRDefault="000200AE" w:rsidP="00C66B69">
            <w:pPr>
              <w:jc w:val="both"/>
            </w:pPr>
            <w:r w:rsidRPr="00A32E8F">
              <w:t>Иные межбюджетные трансферты на премирование победителей республиканского этапа Всероссийского конкурса «Лучшая  муниципальная практика»</w:t>
            </w:r>
          </w:p>
        </w:tc>
      </w:tr>
    </w:tbl>
    <w:p w:rsidR="000200AE" w:rsidRPr="00A36456" w:rsidRDefault="000200AE" w:rsidP="00A364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0AE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000 2 07</w:t>
      </w:r>
      <w:r w:rsidRPr="0067599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5030</w:t>
      </w:r>
      <w:r w:rsidRPr="00675991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675991">
        <w:rPr>
          <w:rFonts w:ascii="Times New Roman" w:hAnsi="Times New Roman" w:cs="Times New Roman"/>
          <w:sz w:val="28"/>
          <w:szCs w:val="28"/>
        </w:rPr>
        <w:t xml:space="preserve"> 1</w:t>
      </w:r>
      <w:r w:rsidRPr="00C91FE4">
        <w:rPr>
          <w:rFonts w:ascii="Times New Roman" w:hAnsi="Times New Roman" w:cs="Times New Roman"/>
          <w:sz w:val="28"/>
          <w:szCs w:val="28"/>
        </w:rPr>
        <w:t>80</w:t>
      </w:r>
      <w:r w:rsidRPr="00675991">
        <w:rPr>
          <w:rFonts w:ascii="Times New Roman" w:hAnsi="Times New Roman" w:cs="Times New Roman"/>
          <w:sz w:val="28"/>
          <w:szCs w:val="28"/>
        </w:rPr>
        <w:t xml:space="preserve"> «</w:t>
      </w:r>
      <w:r w:rsidRPr="000D6348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Pr="00675991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0200AE" w:rsidRDefault="000200AE" w:rsidP="00A364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0200AE" w:rsidRPr="000736C2">
        <w:tc>
          <w:tcPr>
            <w:tcW w:w="1418" w:type="dxa"/>
          </w:tcPr>
          <w:p w:rsidR="000200AE" w:rsidRPr="00EA09F1" w:rsidRDefault="000200AE" w:rsidP="00197B5C">
            <w:pPr>
              <w:ind w:firstLine="34"/>
              <w:jc w:val="center"/>
            </w:pPr>
            <w:r w:rsidRPr="00EA09F1">
              <w:t>6100 180</w:t>
            </w:r>
          </w:p>
        </w:tc>
        <w:tc>
          <w:tcPr>
            <w:tcW w:w="8363" w:type="dxa"/>
            <w:vAlign w:val="center"/>
          </w:tcPr>
          <w:p w:rsidR="000200AE" w:rsidRPr="00C66B69" w:rsidRDefault="000200AE" w:rsidP="00197B5C">
            <w:r w:rsidRPr="00C66B69">
              <w:t>Прочие поступления</w:t>
            </w:r>
          </w:p>
        </w:tc>
      </w:tr>
      <w:tr w:rsidR="000200AE" w:rsidRPr="000736C2">
        <w:tc>
          <w:tcPr>
            <w:tcW w:w="1418" w:type="dxa"/>
          </w:tcPr>
          <w:p w:rsidR="000200AE" w:rsidRPr="00EA09F1" w:rsidRDefault="000200AE" w:rsidP="00197B5C">
            <w:pPr>
              <w:ind w:firstLine="34"/>
              <w:jc w:val="center"/>
            </w:pPr>
            <w:r w:rsidRPr="00EA09F1">
              <w:t>6200 180</w:t>
            </w:r>
          </w:p>
        </w:tc>
        <w:tc>
          <w:tcPr>
            <w:tcW w:w="8363" w:type="dxa"/>
            <w:vAlign w:val="center"/>
          </w:tcPr>
          <w:p w:rsidR="000200AE" w:rsidRPr="00C66B69" w:rsidRDefault="000200AE" w:rsidP="00197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9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200AE" w:rsidRPr="000736C2">
        <w:tc>
          <w:tcPr>
            <w:tcW w:w="1418" w:type="dxa"/>
          </w:tcPr>
          <w:p w:rsidR="000200AE" w:rsidRPr="00EA09F1" w:rsidRDefault="000200AE" w:rsidP="00197B5C">
            <w:pPr>
              <w:ind w:firstLine="34"/>
              <w:jc w:val="center"/>
            </w:pPr>
            <w:r w:rsidRPr="00EA09F1">
              <w:t>6300 180</w:t>
            </w:r>
          </w:p>
        </w:tc>
        <w:tc>
          <w:tcPr>
            <w:tcW w:w="8363" w:type="dxa"/>
            <w:vAlign w:val="center"/>
          </w:tcPr>
          <w:p w:rsidR="000200AE" w:rsidRPr="00C66B69" w:rsidRDefault="000200AE" w:rsidP="00197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9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0200AE" w:rsidRPr="00132C61" w:rsidRDefault="000200AE" w:rsidP="00A36456"/>
    <w:p w:rsidR="000200AE" w:rsidRDefault="000200AE" w:rsidP="00A36456"/>
    <w:p w:rsidR="000200AE" w:rsidRDefault="000200AE" w:rsidP="00C83929">
      <w:pPr>
        <w:jc w:val="both"/>
        <w:rPr>
          <w:shd w:val="clear" w:color="auto" w:fill="FFFFFF"/>
        </w:rPr>
      </w:pPr>
    </w:p>
    <w:sectPr w:rsidR="000200AE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BC"/>
    <w:rsid w:val="000200AE"/>
    <w:rsid w:val="000205DC"/>
    <w:rsid w:val="0002119A"/>
    <w:rsid w:val="000270B9"/>
    <w:rsid w:val="0003740E"/>
    <w:rsid w:val="00050A79"/>
    <w:rsid w:val="000736C2"/>
    <w:rsid w:val="00082D97"/>
    <w:rsid w:val="00090D9E"/>
    <w:rsid w:val="00093DD0"/>
    <w:rsid w:val="0009580F"/>
    <w:rsid w:val="000973A1"/>
    <w:rsid w:val="000A3DB7"/>
    <w:rsid w:val="000B72F5"/>
    <w:rsid w:val="000C2893"/>
    <w:rsid w:val="000D6348"/>
    <w:rsid w:val="000E56CB"/>
    <w:rsid w:val="000F0E9F"/>
    <w:rsid w:val="000F25D7"/>
    <w:rsid w:val="000F3FC7"/>
    <w:rsid w:val="000F4CB7"/>
    <w:rsid w:val="00101709"/>
    <w:rsid w:val="001045A1"/>
    <w:rsid w:val="00110563"/>
    <w:rsid w:val="0011329E"/>
    <w:rsid w:val="00126123"/>
    <w:rsid w:val="00132C61"/>
    <w:rsid w:val="00140139"/>
    <w:rsid w:val="0014063B"/>
    <w:rsid w:val="00151E01"/>
    <w:rsid w:val="001615D3"/>
    <w:rsid w:val="00197B5C"/>
    <w:rsid w:val="001A15BA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16296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2CE2"/>
    <w:rsid w:val="002732FB"/>
    <w:rsid w:val="00282555"/>
    <w:rsid w:val="00285D0A"/>
    <w:rsid w:val="00287E20"/>
    <w:rsid w:val="00290D44"/>
    <w:rsid w:val="00294A6C"/>
    <w:rsid w:val="0029591E"/>
    <w:rsid w:val="002A3EBE"/>
    <w:rsid w:val="002A53DE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4A4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3773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2915"/>
    <w:rsid w:val="004969FA"/>
    <w:rsid w:val="004B48A0"/>
    <w:rsid w:val="004C5BD4"/>
    <w:rsid w:val="004C7A2B"/>
    <w:rsid w:val="004D1597"/>
    <w:rsid w:val="004E09A4"/>
    <w:rsid w:val="004F4FD6"/>
    <w:rsid w:val="004F74F9"/>
    <w:rsid w:val="0050746A"/>
    <w:rsid w:val="005135E6"/>
    <w:rsid w:val="00523A3C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D0ED5"/>
    <w:rsid w:val="005D2124"/>
    <w:rsid w:val="005F2215"/>
    <w:rsid w:val="005F4477"/>
    <w:rsid w:val="005F5DEB"/>
    <w:rsid w:val="0060046C"/>
    <w:rsid w:val="00604B9A"/>
    <w:rsid w:val="00611D69"/>
    <w:rsid w:val="00613779"/>
    <w:rsid w:val="006178CE"/>
    <w:rsid w:val="00621528"/>
    <w:rsid w:val="00631670"/>
    <w:rsid w:val="00637DE5"/>
    <w:rsid w:val="006522B5"/>
    <w:rsid w:val="00652F1B"/>
    <w:rsid w:val="00657E8E"/>
    <w:rsid w:val="00663630"/>
    <w:rsid w:val="0067194C"/>
    <w:rsid w:val="00673196"/>
    <w:rsid w:val="00675991"/>
    <w:rsid w:val="00675FED"/>
    <w:rsid w:val="00697144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69EB"/>
    <w:rsid w:val="00747B25"/>
    <w:rsid w:val="007525F6"/>
    <w:rsid w:val="00754402"/>
    <w:rsid w:val="0077426E"/>
    <w:rsid w:val="007825FD"/>
    <w:rsid w:val="00794B6C"/>
    <w:rsid w:val="007A0566"/>
    <w:rsid w:val="007A231B"/>
    <w:rsid w:val="007A454C"/>
    <w:rsid w:val="007A5A8E"/>
    <w:rsid w:val="007B1B5B"/>
    <w:rsid w:val="007B1FA1"/>
    <w:rsid w:val="007B3ACD"/>
    <w:rsid w:val="007B6B30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E4E10"/>
    <w:rsid w:val="008F5D2B"/>
    <w:rsid w:val="008F7947"/>
    <w:rsid w:val="0091637D"/>
    <w:rsid w:val="00917AD2"/>
    <w:rsid w:val="00925190"/>
    <w:rsid w:val="00926ACF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2740"/>
    <w:rsid w:val="00993DE5"/>
    <w:rsid w:val="009A2812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0FF7"/>
    <w:rsid w:val="00A12F38"/>
    <w:rsid w:val="00A14A29"/>
    <w:rsid w:val="00A24583"/>
    <w:rsid w:val="00A32E8F"/>
    <w:rsid w:val="00A36456"/>
    <w:rsid w:val="00A366B9"/>
    <w:rsid w:val="00A54ACB"/>
    <w:rsid w:val="00A61D01"/>
    <w:rsid w:val="00A656FC"/>
    <w:rsid w:val="00A65D14"/>
    <w:rsid w:val="00A74124"/>
    <w:rsid w:val="00A801FC"/>
    <w:rsid w:val="00A919F7"/>
    <w:rsid w:val="00A9469C"/>
    <w:rsid w:val="00A952C2"/>
    <w:rsid w:val="00AA4521"/>
    <w:rsid w:val="00AB68ED"/>
    <w:rsid w:val="00AC13E3"/>
    <w:rsid w:val="00AC5564"/>
    <w:rsid w:val="00AD06F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1A2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5010"/>
    <w:rsid w:val="00C44871"/>
    <w:rsid w:val="00C475F3"/>
    <w:rsid w:val="00C55C20"/>
    <w:rsid w:val="00C57395"/>
    <w:rsid w:val="00C5793D"/>
    <w:rsid w:val="00C66B69"/>
    <w:rsid w:val="00C81C66"/>
    <w:rsid w:val="00C83929"/>
    <w:rsid w:val="00C8419D"/>
    <w:rsid w:val="00C91FE4"/>
    <w:rsid w:val="00C93D43"/>
    <w:rsid w:val="00C9763D"/>
    <w:rsid w:val="00CA7078"/>
    <w:rsid w:val="00CB6E1B"/>
    <w:rsid w:val="00CD0AFC"/>
    <w:rsid w:val="00CE0672"/>
    <w:rsid w:val="00CF0E7D"/>
    <w:rsid w:val="00D15035"/>
    <w:rsid w:val="00D245C8"/>
    <w:rsid w:val="00D24C6C"/>
    <w:rsid w:val="00D3441E"/>
    <w:rsid w:val="00D35808"/>
    <w:rsid w:val="00D46188"/>
    <w:rsid w:val="00D50F2B"/>
    <w:rsid w:val="00D61FE7"/>
    <w:rsid w:val="00D62212"/>
    <w:rsid w:val="00D71B1E"/>
    <w:rsid w:val="00D845B9"/>
    <w:rsid w:val="00D93025"/>
    <w:rsid w:val="00DA625A"/>
    <w:rsid w:val="00DC0068"/>
    <w:rsid w:val="00DC0AA6"/>
    <w:rsid w:val="00DC1241"/>
    <w:rsid w:val="00DD71EC"/>
    <w:rsid w:val="00DE0D5A"/>
    <w:rsid w:val="00DE33EE"/>
    <w:rsid w:val="00DE3FD6"/>
    <w:rsid w:val="00DF0352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09F1"/>
    <w:rsid w:val="00EA148C"/>
    <w:rsid w:val="00EA5774"/>
    <w:rsid w:val="00EC0ECC"/>
    <w:rsid w:val="00ED0F03"/>
    <w:rsid w:val="00ED2CE8"/>
    <w:rsid w:val="00ED5866"/>
    <w:rsid w:val="00ED757F"/>
    <w:rsid w:val="00ED7DA5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3605A"/>
    <w:rsid w:val="00F36743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08BA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6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63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4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64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978</Words>
  <Characters>5579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2017-12-28T03:40:00Z</cp:lastPrinted>
  <dcterms:created xsi:type="dcterms:W3CDTF">2017-12-28T02:54:00Z</dcterms:created>
  <dcterms:modified xsi:type="dcterms:W3CDTF">2017-12-28T03:41:00Z</dcterms:modified>
</cp:coreProperties>
</file>